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4C4EA3">
        <w:rPr>
          <w:color w:val="FF0000"/>
        </w:rPr>
        <w:t>2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EA3">
        <w:rPr>
          <w:rFonts w:ascii="Times New Roman" w:hAnsi="Times New Roman" w:cs="Times New Roman"/>
          <w:color w:val="FF0000"/>
          <w:sz w:val="24"/>
          <w:szCs w:val="24"/>
          <w:lang w:val="uk-UA"/>
        </w:rPr>
        <w:t>29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4C4EA3">
        <w:rPr>
          <w:rFonts w:ascii="Times New Roman" w:hAnsi="Times New Roman" w:cs="Times New Roman"/>
          <w:color w:val="FF0000"/>
          <w:sz w:val="24"/>
          <w:szCs w:val="24"/>
          <w:lang w:val="uk-UA"/>
        </w:rPr>
        <w:t>11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C45558" w:rsidRPr="0029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="00C45558" w:rsidRPr="00291519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291519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 w:rsidRPr="0029151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29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2D2F78" w:rsidRPr="002D2F78">
        <w:rPr>
          <w:rFonts w:ascii="Times New Roman" w:hAnsi="Times New Roman" w:cs="Times New Roman"/>
          <w:color w:val="FF0000"/>
          <w:sz w:val="24"/>
          <w:szCs w:val="24"/>
          <w:lang w:val="uk-UA"/>
        </w:rPr>
        <w:t>25</w:t>
      </w:r>
      <w:r w:rsidR="00B673FF" w:rsidRPr="0029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291519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396CC4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4C4E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</w:t>
            </w:r>
            <w:r w:rsidR="004C4EA3" w:rsidRPr="004C4E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екретар суду сектору ведення цивільних та адміністративних справ відділу документального забезпечення (канцелярія)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Здійснення заходів з питань реєстрації і обліку судових справ: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 xml:space="preserve">- реєстрація та облік судових справ і матеріалів відповідно до визначених категорій в межах компетенції сектору; 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внесення до автоматизованої системи документообігу суду інформації відповідно до наданих прав доступу;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належне наповнення реєстраційних та обліково-статистичних карток в електронному вигляді відповідно до компетенції сектору;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приймання розглянутих судових справ відповідно до визначених категорій на опрацювання та зберігання;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перевірка відповідності документів у судових справах опису справи;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забезпечення ознайомлення з матеріалами повернутої до сектору справи осіб, які беруть участь у справі, та інших учасників процесу.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Здійснення заходів з питань документообігу: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 xml:space="preserve">- оформлення копій процесуальних документів у справах та інших вихідних документів для своєчасного надсилання за призначенням; 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здійснення довідково-інформаційної роботи щодо проходження і стану розгляду справ та документів у суді відповідно до компетенції сектору;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здійснення своєчасного та якісного звернення судових рішень до виконання;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забезпечення ведення документів первинного обліку, достовірності та своєчасності їх складання та оформлення;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видача належним чином оформлених копій процесуальних та інших документів згідно із встановленим порядком.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Здійснення заходів з питань експедиційної обробки документів: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ведення обліку надходження апеляційних скарг;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внесення даних про направлення справи до апеляційної чи касаційної інстанції і даних після повернення;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lastRenderedPageBreak/>
              <w:t>- здійснення підготовки судових справ із скаргами, поданнями для надсилання до судів вищих інстанцій.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Виконання завдань з питань архівного зберігання документів і справ: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координація роботи з архівом суду;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ведення в межах компетенції номенклатури справ сектору;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- підготовка та передання до архіву суду документів та судових справ сектору за минулі роки, провадження у яких закінчено.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4C4EA3" w:rsidRPr="004C4EA3" w:rsidRDefault="004C4EA3" w:rsidP="004C4EA3">
            <w:pPr>
              <w:suppressAutoHyphens/>
              <w:ind w:firstLine="567"/>
              <w:jc w:val="both"/>
              <w:rPr>
                <w:color w:val="FF0000"/>
                <w:lang w:eastAsia="zh-CN"/>
              </w:rPr>
            </w:pPr>
            <w:r w:rsidRPr="004C4EA3">
              <w:rPr>
                <w:color w:val="FF0000"/>
                <w:lang w:eastAsia="zh-CN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сектору, підготовка відповідних справ за минулі роки для передання до архіву суду.</w:t>
            </w:r>
          </w:p>
          <w:p w:rsidR="00C15238" w:rsidRPr="005F3A56" w:rsidRDefault="004C4EA3" w:rsidP="004C4EA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4C4EA3">
              <w:rPr>
                <w:color w:val="FF0000"/>
                <w:lang w:eastAsia="zh-CN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D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F3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F4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 xml:space="preserve">. </w:t>
            </w:r>
            <w:r w:rsidRPr="007A53A3">
              <w:rPr>
                <w:rFonts w:eastAsia="Arial Unicode MS"/>
                <w:color w:val="000000"/>
                <w:lang w:bidi="uk-UA"/>
              </w:rPr>
              <w:lastRenderedPageBreak/>
              <w:t>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lastRenderedPageBreak/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</w:t>
            </w:r>
            <w:r>
              <w:rPr>
                <w:color w:val="000000"/>
                <w:lang w:bidi="uk-UA"/>
              </w:rPr>
              <w:lastRenderedPageBreak/>
              <w:t>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0514" w:rsidRDefault="00400514" w:rsidP="004005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процесуальних кодексів 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, Адміністративний кодекс України)</w:t>
            </w:r>
          </w:p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6D" w:rsidRDefault="00D31F6D">
      <w:r>
        <w:separator/>
      </w:r>
    </w:p>
  </w:endnote>
  <w:endnote w:type="continuationSeparator" w:id="0">
    <w:p w:rsidR="00D31F6D" w:rsidRDefault="00D3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6D" w:rsidRDefault="00D31F6D">
      <w:r>
        <w:separator/>
      </w:r>
    </w:p>
  </w:footnote>
  <w:footnote w:type="continuationSeparator" w:id="0">
    <w:p w:rsidR="00D31F6D" w:rsidRDefault="00D31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0C5FA7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0C5FA7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2F78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1519"/>
    <w:rsid w:val="00294467"/>
    <w:rsid w:val="002C0190"/>
    <w:rsid w:val="002C2D05"/>
    <w:rsid w:val="002D2F78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85BA8"/>
    <w:rsid w:val="00492261"/>
    <w:rsid w:val="004A5CD9"/>
    <w:rsid w:val="004C0788"/>
    <w:rsid w:val="004C2103"/>
    <w:rsid w:val="004C4EA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5F3A56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D6566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15D96"/>
    <w:rsid w:val="00926808"/>
    <w:rsid w:val="00934395"/>
    <w:rsid w:val="0094100D"/>
    <w:rsid w:val="00941F81"/>
    <w:rsid w:val="009524A7"/>
    <w:rsid w:val="0096463F"/>
    <w:rsid w:val="009B4AE9"/>
    <w:rsid w:val="009C5E3B"/>
    <w:rsid w:val="009E1AE6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31F6D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976AD-A198-47FB-BB49-E47B01CC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1026</Words>
  <Characters>6945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7956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43</cp:revision>
  <cp:lastPrinted>2022-11-29T09:13:00Z</cp:lastPrinted>
  <dcterms:created xsi:type="dcterms:W3CDTF">2020-09-07T06:04:00Z</dcterms:created>
  <dcterms:modified xsi:type="dcterms:W3CDTF">2022-11-29T09:20:00Z</dcterms:modified>
</cp:coreProperties>
</file>