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0E4BD3">
        <w:rPr>
          <w:color w:val="FF0000"/>
        </w:rPr>
        <w:t>2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A60DB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A6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346" w:rsidRPr="001A60DB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0E4BD3" w:rsidRPr="001A60DB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C45558" w:rsidRPr="001A60D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46C6A" w:rsidRPr="001A60DB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697716" w:rsidRPr="001A60DB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1A60DB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1A60DB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46C6A" w:rsidRPr="001A60DB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1A60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1A60DB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1A60DB">
        <w:rPr>
          <w:rFonts w:ascii="Times New Roman" w:hAnsi="Times New Roman" w:cs="Times New Roman"/>
          <w:color w:val="FF0000"/>
          <w:sz w:val="24"/>
          <w:szCs w:val="24"/>
          <w:lang w:val="en-US"/>
        </w:rPr>
        <w:t>12</w:t>
      </w:r>
      <w:r w:rsidR="00B673FF" w:rsidRPr="001A60DB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1A60DB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0E4BD3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</w:t>
            </w:r>
            <w:r w:rsidR="006E150A" w:rsidRPr="007162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="00575F48" w:rsidRPr="007162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и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proofErr w:type="spellStart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екретар</w:t>
            </w:r>
            <w:proofErr w:type="spellEnd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 xml:space="preserve">Забезпечує ведення журналів (протоколів) судового засідання, фіксування судового процесу (судових засідань) технічними засобами, проведення </w:t>
            </w:r>
            <w:proofErr w:type="spellStart"/>
            <w:r w:rsidRPr="00697716">
              <w:rPr>
                <w:color w:val="FF0000"/>
                <w:szCs w:val="28"/>
              </w:rPr>
              <w:t>відеоконференцій</w:t>
            </w:r>
            <w:proofErr w:type="spellEnd"/>
            <w:r w:rsidRPr="00697716">
              <w:rPr>
                <w:color w:val="FF0000"/>
                <w:szCs w:val="28"/>
              </w:rPr>
              <w:t>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Оформляє матеріали кримінального провадження в суді.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Здійснює виклик присяжних.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97716">
              <w:rPr>
                <w:color w:val="FF0000"/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6E150A" w:rsidRPr="006E150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5420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71624E" w:rsidRPr="0071624E" w:rsidRDefault="0071624E" w:rsidP="0071624E">
            <w:pPr>
              <w:pStyle w:val="ac"/>
              <w:numPr>
                <w:ilvl w:val="0"/>
                <w:numId w:val="18"/>
              </w:numPr>
              <w:jc w:val="both"/>
              <w:rPr>
                <w:color w:val="FF0000"/>
              </w:rPr>
            </w:pPr>
            <w:r w:rsidRPr="0071624E">
              <w:rPr>
                <w:color w:val="FF0000"/>
              </w:rPr>
              <w:t>заміщення тимчасово відсутнього державного службовця, за яким зберігається посада державної служби;</w:t>
            </w: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697716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lastRenderedPageBreak/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</w:t>
            </w: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69771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69771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69771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97716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EA" w:rsidRDefault="005B43EA">
      <w:r>
        <w:separator/>
      </w:r>
    </w:p>
  </w:endnote>
  <w:endnote w:type="continuationSeparator" w:id="0">
    <w:p w:rsidR="005B43EA" w:rsidRDefault="005B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EA" w:rsidRDefault="005B43EA">
      <w:r>
        <w:separator/>
      </w:r>
    </w:p>
  </w:footnote>
  <w:footnote w:type="continuationSeparator" w:id="0">
    <w:p w:rsidR="005B43EA" w:rsidRDefault="005B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DF0B07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DF0B07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DB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57DB4"/>
    <w:rsid w:val="00061708"/>
    <w:rsid w:val="000640CB"/>
    <w:rsid w:val="000667FB"/>
    <w:rsid w:val="00090EAD"/>
    <w:rsid w:val="0009568A"/>
    <w:rsid w:val="000A4328"/>
    <w:rsid w:val="000A5D4E"/>
    <w:rsid w:val="000B7A6F"/>
    <w:rsid w:val="000E4BD3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0DB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4AAD"/>
    <w:rsid w:val="00376EDF"/>
    <w:rsid w:val="00384359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071FE"/>
    <w:rsid w:val="00514335"/>
    <w:rsid w:val="00520977"/>
    <w:rsid w:val="00520CB3"/>
    <w:rsid w:val="005413E9"/>
    <w:rsid w:val="0054561B"/>
    <w:rsid w:val="0056384C"/>
    <w:rsid w:val="00575F48"/>
    <w:rsid w:val="00582B98"/>
    <w:rsid w:val="005B43EA"/>
    <w:rsid w:val="005C4001"/>
    <w:rsid w:val="005E239E"/>
    <w:rsid w:val="005E659A"/>
    <w:rsid w:val="005F6427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97716"/>
    <w:rsid w:val="006B6346"/>
    <w:rsid w:val="006C51A3"/>
    <w:rsid w:val="006E150A"/>
    <w:rsid w:val="006F3E32"/>
    <w:rsid w:val="006F7ACA"/>
    <w:rsid w:val="0070593E"/>
    <w:rsid w:val="0070666B"/>
    <w:rsid w:val="0071624E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5D96"/>
    <w:rsid w:val="00926808"/>
    <w:rsid w:val="00933D7A"/>
    <w:rsid w:val="00934395"/>
    <w:rsid w:val="0094100D"/>
    <w:rsid w:val="00941F81"/>
    <w:rsid w:val="009524A7"/>
    <w:rsid w:val="0096463F"/>
    <w:rsid w:val="00990C78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557D7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2E1E"/>
    <w:rsid w:val="00AF71AD"/>
    <w:rsid w:val="00B128F6"/>
    <w:rsid w:val="00B12D59"/>
    <w:rsid w:val="00B136E3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05346"/>
    <w:rsid w:val="00D14560"/>
    <w:rsid w:val="00D15B2B"/>
    <w:rsid w:val="00D24241"/>
    <w:rsid w:val="00D3108E"/>
    <w:rsid w:val="00D37800"/>
    <w:rsid w:val="00D51B64"/>
    <w:rsid w:val="00D7497A"/>
    <w:rsid w:val="00D835DE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DF0B07"/>
    <w:rsid w:val="00E20A48"/>
    <w:rsid w:val="00E332B9"/>
    <w:rsid w:val="00E348C0"/>
    <w:rsid w:val="00E35D40"/>
    <w:rsid w:val="00E46C6A"/>
    <w:rsid w:val="00E53358"/>
    <w:rsid w:val="00E65183"/>
    <w:rsid w:val="00E74F68"/>
    <w:rsid w:val="00E75DF3"/>
    <w:rsid w:val="00E75E5E"/>
    <w:rsid w:val="00E807A3"/>
    <w:rsid w:val="00E842E9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4A19-90E5-4BAB-AF49-5DA5C2FC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4220</Words>
  <Characters>2406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6613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56</cp:revision>
  <cp:lastPrinted>2022-11-29T09:12:00Z</cp:lastPrinted>
  <dcterms:created xsi:type="dcterms:W3CDTF">2020-09-07T06:04:00Z</dcterms:created>
  <dcterms:modified xsi:type="dcterms:W3CDTF">2023-05-02T12:10:00Z</dcterms:modified>
</cp:coreProperties>
</file>